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DE" w:rsidRPr="00EB5D0D" w:rsidRDefault="00EB5D0D" w:rsidP="00EB5D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Konseling</w:t>
      </w:r>
      <w:proofErr w:type="spellEnd"/>
    </w:p>
    <w:p w:rsidR="00EB5D0D" w:rsidRPr="00EB5D0D" w:rsidRDefault="00EB5D0D" w:rsidP="00EB5D0D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D0D">
        <w:rPr>
          <w:rFonts w:ascii="Times New Roman" w:hAnsi="Times New Roman" w:cs="Times New Roman"/>
          <w:sz w:val="24"/>
          <w:szCs w:val="24"/>
        </w:rPr>
        <w:t>(Cyber Counseling)</w:t>
      </w:r>
    </w:p>
    <w:p w:rsidR="00EB5D0D" w:rsidRPr="00EB5D0D" w:rsidRDefault="00EB5D0D" w:rsidP="00EB5D0D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0D" w:rsidRPr="00EB5D0D" w:rsidRDefault="00EB5D0D" w:rsidP="00EB5D0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EB5D0D" w:rsidRPr="00EB5D0D" w:rsidRDefault="00EB5D0D" w:rsidP="00EB5D0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Karir</w:t>
      </w:r>
      <w:proofErr w:type="spellEnd"/>
    </w:p>
    <w:p w:rsidR="00EB5D0D" w:rsidRPr="00EB5D0D" w:rsidRDefault="00EB5D0D" w:rsidP="00EB5D0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>: X (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>)</w:t>
      </w:r>
    </w:p>
    <w:p w:rsidR="00EB5D0D" w:rsidRPr="00EB5D0D" w:rsidRDefault="00EB5D0D" w:rsidP="00EB5D0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 xml:space="preserve">: 1 ×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1 × 45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B5D0D" w:rsidRPr="00EB5D0D" w:rsidRDefault="00EB5D0D" w:rsidP="00EB5D0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Peneempatan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Penyaluran</w:t>
      </w:r>
      <w:proofErr w:type="spellEnd"/>
    </w:p>
    <w:p w:rsidR="00EB5D0D" w:rsidRPr="00EB5D0D" w:rsidRDefault="00EB5D0D" w:rsidP="00EB5D0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0D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>: Cyber Counseling</w:t>
      </w:r>
    </w:p>
    <w:p w:rsidR="00EB5D0D" w:rsidRPr="00EB5D0D" w:rsidRDefault="00EB5D0D" w:rsidP="00EB5D0D">
      <w:pPr>
        <w:pStyle w:val="ListParagraph"/>
        <w:numPr>
          <w:ilvl w:val="0"/>
          <w:numId w:val="2"/>
        </w:numPr>
        <w:spacing w:before="24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B5D0D" w:rsidRDefault="00EB5D0D" w:rsidP="00EB5D0D">
      <w:pPr>
        <w:spacing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individual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antaranya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kognitif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berprestasi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kreativitas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memegang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peranan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mengembangkan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dimiliki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Kemungkinan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tejadi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kesalahan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dalm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rendahnya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kegamangan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aktualisasi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jarang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mengerti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alasan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pemilihan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kemana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tamat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cita-citanya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menengah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ditentukan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didukung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menuntut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mempelajarinya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mempelajari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kepribadiannya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senang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mempelajari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lain</w:t>
      </w:r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kepribadian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akademik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kecerdasan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bakat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lastRenderedPageBreak/>
        <w:t>dipakai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orang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berminat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memusatkan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perhatiannya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daripada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lain.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pemusatan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intensif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materi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giat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diinginkan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berbeda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menentukan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pilihan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karir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datang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menengah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titik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menentukan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profesi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kurikulum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Indonesia,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X SMA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naik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XI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pemilihan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(IPA),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(IPS),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disesuaikan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Tujuannya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kelak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terarah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minatnya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, guru BK/BP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psikotes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potensi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psikologis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tergali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penjurusan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EB5D0D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bCs/>
          <w:sz w:val="24"/>
          <w:szCs w:val="24"/>
        </w:rPr>
        <w:t>arah</w:t>
      </w:r>
      <w:proofErr w:type="spellEnd"/>
      <w:r w:rsidRPr="00EB5D0D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D0D" w:rsidRDefault="00EB5D0D" w:rsidP="00EB5D0D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</w:p>
    <w:p w:rsidR="00EB5D0D" w:rsidRDefault="00EB5D0D" w:rsidP="00EB5D0D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D0D" w:rsidRDefault="00EB5D0D" w:rsidP="00EB5D0D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0D" w:rsidRDefault="00EB5D0D" w:rsidP="00EB5D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D0D" w:rsidRDefault="00EB5D0D" w:rsidP="00EB5D0D">
      <w:pPr>
        <w:pStyle w:val="ListParagraph"/>
        <w:numPr>
          <w:ilvl w:val="0"/>
          <w:numId w:val="4"/>
        </w:numPr>
        <w:tabs>
          <w:tab w:val="left" w:pos="1710"/>
          <w:tab w:val="left" w:pos="1890"/>
        </w:tabs>
        <w:spacing w:line="360" w:lineRule="auto"/>
        <w:ind w:left="3060" w:hanging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EB5D0D" w:rsidRDefault="00EB5D0D" w:rsidP="00EB5D0D">
      <w:pPr>
        <w:pStyle w:val="ListParagraph"/>
        <w:numPr>
          <w:ilvl w:val="0"/>
          <w:numId w:val="4"/>
        </w:numPr>
        <w:tabs>
          <w:tab w:val="left" w:pos="1710"/>
          <w:tab w:val="left" w:pos="1890"/>
        </w:tabs>
        <w:spacing w:line="360" w:lineRule="auto"/>
        <w:ind w:left="3060" w:hanging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D0D" w:rsidRDefault="00EB5D0D" w:rsidP="00EB5D0D">
      <w:pPr>
        <w:pStyle w:val="ListParagraph"/>
        <w:tabs>
          <w:tab w:val="left" w:pos="1710"/>
          <w:tab w:val="left" w:pos="1890"/>
        </w:tabs>
        <w:spacing w:line="36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EB5D0D" w:rsidRDefault="00EB5D0D" w:rsidP="00EB5D0D">
      <w:pPr>
        <w:pStyle w:val="ListParagraph"/>
        <w:numPr>
          <w:ilvl w:val="0"/>
          <w:numId w:val="3"/>
        </w:numPr>
        <w:tabs>
          <w:tab w:val="left" w:pos="1710"/>
          <w:tab w:val="left" w:pos="1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bakatnya</w:t>
      </w:r>
      <w:proofErr w:type="spellEnd"/>
    </w:p>
    <w:p w:rsidR="00EB5D0D" w:rsidRDefault="00EB5D0D" w:rsidP="00EB5D0D">
      <w:pPr>
        <w:pStyle w:val="ListParagraph"/>
        <w:numPr>
          <w:ilvl w:val="0"/>
          <w:numId w:val="2"/>
        </w:numPr>
        <w:tabs>
          <w:tab w:val="left" w:pos="1710"/>
          <w:tab w:val="left" w:pos="1890"/>
          <w:tab w:val="left" w:pos="288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Model/format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EB5D0D">
        <w:rPr>
          <w:rFonts w:ascii="Times New Roman" w:hAnsi="Times New Roman" w:cs="Times New Roman"/>
          <w:sz w:val="24"/>
          <w:szCs w:val="24"/>
        </w:rPr>
        <w:t xml:space="preserve"> Cyber Counseling</w:t>
      </w:r>
    </w:p>
    <w:p w:rsidR="00EB5D0D" w:rsidRDefault="00EB5D0D" w:rsidP="00EB5D0D">
      <w:pPr>
        <w:pStyle w:val="ListParagraph"/>
        <w:numPr>
          <w:ilvl w:val="0"/>
          <w:numId w:val="2"/>
        </w:numPr>
        <w:tabs>
          <w:tab w:val="left" w:pos="540"/>
          <w:tab w:val="left" w:pos="2520"/>
          <w:tab w:val="left" w:pos="2880"/>
        </w:tabs>
        <w:spacing w:line="36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BB1569">
          <w:rPr>
            <w:rStyle w:val="Hyperlink"/>
            <w:rFonts w:ascii="Times New Roman" w:hAnsi="Times New Roman" w:cs="Times New Roman"/>
            <w:sz w:val="24"/>
            <w:szCs w:val="24"/>
          </w:rPr>
          <w:t>http://herlianto89felix.blogspot.com/2010/10/teori-ginzberg-dan-implikasinya.html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0D" w:rsidRDefault="00EB5D0D" w:rsidP="00EB5D0D">
      <w:pPr>
        <w:pStyle w:val="ListParagraph"/>
        <w:numPr>
          <w:ilvl w:val="0"/>
          <w:numId w:val="2"/>
        </w:numPr>
        <w:tabs>
          <w:tab w:val="left" w:pos="540"/>
          <w:tab w:val="left" w:pos="2880"/>
        </w:tabs>
        <w:spacing w:line="36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D0D">
        <w:rPr>
          <w:rFonts w:ascii="Times New Roman" w:hAnsi="Times New Roman" w:cs="Times New Roman"/>
          <w:sz w:val="24"/>
          <w:szCs w:val="24"/>
        </w:rPr>
        <w:lastRenderedPageBreak/>
        <w:t>Rancangan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0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r w:rsidRPr="00EB5D0D"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B5D0D" w:rsidRDefault="00EB5D0D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5D0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  <w:r w:rsidRPr="00EB5D0D">
        <w:rPr>
          <w:rFonts w:ascii="Times New Roman" w:hAnsi="Times New Roman" w:cs="Times New Roman"/>
          <w:sz w:val="24"/>
          <w:szCs w:val="24"/>
        </w:rPr>
        <w:t xml:space="preserve"> 1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D0D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:rsidR="003A6730" w:rsidRDefault="003A6730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3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40630" cy="2833279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0D" w:rsidRDefault="00EB5D0D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EB5D0D">
        <w:rPr>
          <w:rFonts w:ascii="Times New Roman" w:hAnsi="Times New Roman" w:cs="Times New Roman"/>
          <w:sz w:val="24"/>
          <w:szCs w:val="24"/>
        </w:rPr>
        <w:t>alaman</w:t>
      </w:r>
      <w:proofErr w:type="spellEnd"/>
      <w:proofErr w:type="gramEnd"/>
      <w:r w:rsidRPr="00EB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</w:p>
    <w:p w:rsidR="003A6730" w:rsidRDefault="003A6730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3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40630" cy="2833279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0D" w:rsidRDefault="00EB5D0D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(Gallery)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</w:p>
    <w:p w:rsidR="003A6730" w:rsidRDefault="003A6730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3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40630" cy="2833279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0D" w:rsidRDefault="00EB5D0D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6730" w:rsidRPr="00EB5D0D" w:rsidRDefault="003A6730" w:rsidP="00EB5D0D">
      <w:pPr>
        <w:pStyle w:val="ListParagraph"/>
        <w:tabs>
          <w:tab w:val="left" w:pos="540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3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40630" cy="2833279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0D" w:rsidRDefault="00EB5D0D" w:rsidP="00EB5D0D">
      <w:pPr>
        <w:pStyle w:val="ListParagraph"/>
        <w:numPr>
          <w:ilvl w:val="0"/>
          <w:numId w:val="2"/>
        </w:numPr>
        <w:tabs>
          <w:tab w:val="left" w:pos="540"/>
          <w:tab w:val="left" w:pos="2880"/>
        </w:tabs>
        <w:spacing w:line="360" w:lineRule="auto"/>
        <w:ind w:left="3060" w:hanging="30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0D" w:rsidRDefault="00EB5D0D" w:rsidP="00EB5D0D">
      <w:pPr>
        <w:pStyle w:val="ListParagraph"/>
        <w:tabs>
          <w:tab w:val="left" w:pos="540"/>
          <w:tab w:val="left" w:pos="28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</w:p>
    <w:tbl>
      <w:tblPr>
        <w:tblStyle w:val="TableGrid"/>
        <w:tblW w:w="0" w:type="auto"/>
        <w:tblInd w:w="540" w:type="dxa"/>
        <w:tblLook w:val="04A0"/>
      </w:tblPr>
      <w:tblGrid>
        <w:gridCol w:w="558"/>
        <w:gridCol w:w="3420"/>
        <w:gridCol w:w="3636"/>
      </w:tblGrid>
      <w:tr w:rsidR="00EB5D0D" w:rsidTr="00EB5D0D">
        <w:tc>
          <w:tcPr>
            <w:tcW w:w="558" w:type="dxa"/>
            <w:vAlign w:val="center"/>
          </w:tcPr>
          <w:p w:rsidR="00EB5D0D" w:rsidRDefault="00EB5D0D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20" w:type="dxa"/>
            <w:vAlign w:val="center"/>
          </w:tcPr>
          <w:p w:rsidR="00EB5D0D" w:rsidRDefault="00EB5D0D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</w:p>
        </w:tc>
        <w:tc>
          <w:tcPr>
            <w:tcW w:w="3636" w:type="dxa"/>
            <w:vAlign w:val="center"/>
          </w:tcPr>
          <w:p w:rsidR="00EB5D0D" w:rsidRDefault="00EB5D0D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Siwa</w:t>
            </w:r>
            <w:proofErr w:type="spellEnd"/>
          </w:p>
        </w:tc>
      </w:tr>
      <w:tr w:rsidR="00EB5D0D" w:rsidTr="00EB5D0D">
        <w:trPr>
          <w:trHeight w:val="2393"/>
        </w:trPr>
        <w:tc>
          <w:tcPr>
            <w:tcW w:w="558" w:type="dxa"/>
          </w:tcPr>
          <w:p w:rsidR="00EB5D0D" w:rsidRP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420" w:type="dxa"/>
          </w:tcPr>
          <w:p w:rsidR="00EB5D0D" w:rsidRP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Pendahuluan </w:t>
            </w:r>
            <w:r w:rsidR="002B6E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(kurang lebih 15 menit)</w:t>
            </w:r>
          </w:p>
        </w:tc>
        <w:tc>
          <w:tcPr>
            <w:tcW w:w="3636" w:type="dxa"/>
          </w:tcPr>
          <w:p w:rsidR="00EB5D0D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 Siswa diharapkan membaca pengantar yang berupa latar belakang, landasan teori, dan bidang bimbingan.</w:t>
            </w:r>
          </w:p>
          <w:p w:rsidR="009E67EC" w:rsidRP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B5D0D" w:rsidTr="00EB5D0D">
        <w:trPr>
          <w:trHeight w:val="2519"/>
        </w:trPr>
        <w:tc>
          <w:tcPr>
            <w:tcW w:w="558" w:type="dxa"/>
          </w:tcPr>
          <w:p w:rsidR="00EB5D0D" w:rsidRP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3420" w:type="dxa"/>
          </w:tcPr>
          <w:p w:rsidR="00EB5D0D" w:rsidRPr="009E67EC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9E67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nti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(kurang lebih 30 menit)</w:t>
            </w:r>
          </w:p>
        </w:tc>
        <w:tc>
          <w:tcPr>
            <w:tcW w:w="3636" w:type="dxa"/>
          </w:tcPr>
          <w:p w:rsidR="00EB5D0D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siswa diminta untuk meng</w:t>
            </w:r>
            <w:r w:rsidR="009E67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kuisioner yang telah disediakan.</w:t>
            </w:r>
          </w:p>
          <w:p w:rsid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setelah mengisi kuisioner siswa di minta untuk menyimpan lalu mengeprint hasil kuisioner</w:t>
            </w:r>
          </w:p>
          <w:p w:rsid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c. setelah itu, siswa diarahkan untuk mengisi dan memberikan coment pada from contact yang sudah di sediakan.</w:t>
            </w:r>
          </w:p>
          <w:p w:rsidR="009E67EC" w:rsidRPr="009E67EC" w:rsidRDefault="009E67EC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B5D0D" w:rsidTr="00EB5D0D">
        <w:trPr>
          <w:trHeight w:val="2519"/>
        </w:trPr>
        <w:tc>
          <w:tcPr>
            <w:tcW w:w="558" w:type="dxa"/>
          </w:tcPr>
          <w:p w:rsidR="00EB5D0D" w:rsidRPr="002B6EF1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420" w:type="dxa"/>
          </w:tcPr>
          <w:p w:rsidR="00EB5D0D" w:rsidRPr="002B6EF1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 (tergantung individu)</w:t>
            </w:r>
          </w:p>
        </w:tc>
        <w:tc>
          <w:tcPr>
            <w:tcW w:w="3636" w:type="dxa"/>
          </w:tcPr>
          <w:p w:rsidR="00EB5D0D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 siswa bisa merefresh otak mereka dengan selingan gallery dan info admin, yang berisi foto beserta video.</w:t>
            </w:r>
          </w:p>
          <w:p w:rsidR="002B6EF1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b. siswa dapat membaca tips dan trik yang telah tersedia pada web.</w:t>
            </w:r>
          </w:p>
          <w:p w:rsidR="002B6EF1" w:rsidRPr="002B6EF1" w:rsidRDefault="002B6EF1" w:rsidP="00EB5D0D">
            <w:pPr>
              <w:pStyle w:val="ListParagraph"/>
              <w:tabs>
                <w:tab w:val="left" w:pos="540"/>
                <w:tab w:val="left" w:pos="28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B5D0D" w:rsidRPr="00EB5D0D" w:rsidRDefault="00EB5D0D" w:rsidP="00EB5D0D">
      <w:p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D0D" w:rsidRPr="00EB5D0D" w:rsidSect="00EB5D0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BA2"/>
    <w:multiLevelType w:val="hybridMultilevel"/>
    <w:tmpl w:val="864C7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BD0"/>
    <w:multiLevelType w:val="hybridMultilevel"/>
    <w:tmpl w:val="0A6AE1D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5A02C3"/>
    <w:multiLevelType w:val="hybridMultilevel"/>
    <w:tmpl w:val="5896FE4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5A2209F"/>
    <w:multiLevelType w:val="hybridMultilevel"/>
    <w:tmpl w:val="27F08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83E84"/>
    <w:multiLevelType w:val="hybridMultilevel"/>
    <w:tmpl w:val="6748CF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D0D"/>
    <w:rsid w:val="000646DE"/>
    <w:rsid w:val="002B6EF1"/>
    <w:rsid w:val="003A6730"/>
    <w:rsid w:val="005F1FD1"/>
    <w:rsid w:val="00766140"/>
    <w:rsid w:val="009E67EC"/>
    <w:rsid w:val="00EB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D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herlianto89felix.blogspot.com/2010/10/teori-ginzberg-dan-implikasin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Fitria Astuti</cp:lastModifiedBy>
  <cp:revision>3</cp:revision>
  <dcterms:created xsi:type="dcterms:W3CDTF">2012-04-16T13:55:00Z</dcterms:created>
  <dcterms:modified xsi:type="dcterms:W3CDTF">2012-04-16T13:55:00Z</dcterms:modified>
</cp:coreProperties>
</file>